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ED904EFE">
      <w:pPr>
        <w:pStyle w:val="style0"/>
        <w:keepNext w:val="false"/>
        <w:keepLines w:val="false"/>
        <w:pageBreakBefore w:val="false"/>
        <w:widowControl w:val="false"/>
        <w:tabs>
          <w:tab w:val="left" w:leader="none" w:pos="705"/>
          <w:tab w:val="center" w:leader="none" w:pos="4451"/>
        </w:tabs>
        <w:kinsoku/>
        <w:overflowPunct/>
        <w:topLinePunct w:val="false"/>
        <w:bidi w:val="false"/>
        <w:snapToGrid/>
        <w:spacing w:lineRule="exact" w:line="580"/>
        <w:jc w:val="center"/>
        <w:contextualSpacing/>
        <w:rPr>
          <w:rFonts w:ascii="Times New Roman" w:cs="Times New Roman" w:eastAsia="方正小标宋简体" w:hAnsi="Times New Roman" w:hint="default"/>
          <w:color w:val="auto"/>
          <w:sz w:val="44"/>
          <w:szCs w:val="44"/>
        </w:rPr>
      </w:pPr>
    </w:p>
    <w:p w14:paraId="B95D240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firstLine="0" w:firstLineChars="0"/>
        <w:jc w:val="both"/>
        <w:rPr>
          <w:rFonts w:ascii="Times New Roman" w:cs="Times New Roman" w:eastAsia="CESI黑体-GB2312" w:hAnsi="Times New Roman" w:hint="default"/>
          <w:color w:val="auto"/>
          <w:kern w:val="0"/>
          <w:sz w:val="44"/>
          <w:szCs w:val="44"/>
          <w:lang w:val="zh-CN"/>
        </w:rPr>
      </w:pPr>
      <w:r>
        <w:rPr>
          <w:rFonts w:ascii="Times New Roman" w:cs="Times New Roman" w:eastAsia="CESI黑体-GB2312" w:hAnsi="Times New Roman" w:hint="default"/>
          <w:color w:val="auto"/>
          <w:kern w:val="0"/>
          <w:lang w:val="zh-CN"/>
        </w:rPr>
        <w:t>附件</w:t>
      </w:r>
    </w:p>
    <w:p w14:paraId="5F85A5C6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firstLine="0" w:firstLineChars="0"/>
        <w:jc w:val="both"/>
        <w:rPr>
          <w:rFonts w:ascii="Times New Roman" w:cs="Times New Roman" w:eastAsia="方正小标宋简体" w:hAnsi="Times New Roman" w:hint="default"/>
          <w:color w:val="auto"/>
          <w:kern w:val="0"/>
          <w:sz w:val="44"/>
          <w:szCs w:val="44"/>
          <w:lang w:val="zh-CN"/>
        </w:rPr>
      </w:pPr>
    </w:p>
    <w:p w14:paraId="D36CDAE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firstLine="0" w:firstLineChars="0"/>
        <w:jc w:val="center"/>
        <w:rPr>
          <w:rFonts w:ascii="Times New Roman" w:cs="Times New Roman" w:eastAsia="方正小标宋简体" w:hAnsi="Times New Roman" w:hint="default"/>
          <w:color w:val="auto"/>
          <w:kern w:val="0"/>
          <w:sz w:val="44"/>
          <w:szCs w:val="44"/>
          <w:lang w:val="zh-CN"/>
        </w:rPr>
      </w:pPr>
      <w:r>
        <w:rPr>
          <w:rFonts w:ascii="Times New Roman" w:cs="Times New Roman" w:eastAsia="方正小标宋简体" w:hAnsi="Times New Roman" w:hint="default"/>
          <w:color w:val="auto"/>
          <w:kern w:val="0"/>
          <w:sz w:val="44"/>
          <w:szCs w:val="44"/>
          <w:lang w:val="zh-CN"/>
        </w:rPr>
        <w:t>2026年度农业、社发领域省科技支撑计划（一般项目）申报指南</w:t>
      </w:r>
    </w:p>
    <w:p w14:paraId="7DDEB2E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jc w:val="both"/>
        <w:rPr>
          <w:rFonts w:ascii="Times New Roman" w:cs="Times New Roman" w:hAnsi="Times New Roman" w:hint="default"/>
          <w:color w:val="auto"/>
        </w:rPr>
      </w:pPr>
    </w:p>
    <w:p w14:paraId="04E389BF">
      <w:pPr>
        <w:pStyle w:val="style0"/>
        <w:keepNext w:val="false"/>
        <w:keepLines w:val="false"/>
        <w:pageBreakBefore w:val="false"/>
        <w:widowControl w:val="false"/>
        <w:kinsoku/>
        <w:overflowPunct/>
        <w:topLinePunct w:val="false"/>
        <w:bidi w:val="false"/>
        <w:snapToGrid/>
        <w:spacing w:lineRule="exact" w:line="580"/>
        <w:ind w:firstLine="640" w:firstLineChars="200"/>
        <w:jc w:val="both"/>
        <w:rPr>
          <w:rFonts w:ascii="Times New Roman" w:cs="Times New Roman" w:eastAsia="仿宋_GB2312" w:hAnsi="Times New Roman" w:hint="default"/>
          <w:color w:val="auto"/>
          <w:szCs w:val="32"/>
          <w:lang w:eastAsia="zh-CN"/>
        </w:rPr>
      </w:pPr>
      <w:r>
        <w:rPr>
          <w:rFonts w:ascii="Times New Roman" w:cs="Times New Roman" w:eastAsia="仿宋_GB2312" w:hAnsi="Times New Roman" w:hint="default"/>
          <w:color w:val="auto"/>
          <w:szCs w:val="32"/>
        </w:rPr>
        <w:t>本年度</w:t>
      </w:r>
      <w:r>
        <w:rPr>
          <w:rFonts w:ascii="Times New Roman" w:cs="Times New Roman" w:eastAsia="仿宋_GB2312" w:hAnsi="Times New Roman" w:hint="default"/>
          <w:color w:val="auto"/>
          <w:szCs w:val="32"/>
          <w:lang w:val="zh-CN"/>
        </w:rPr>
        <w:t>省科技支撑计划项目申报指南</w:t>
      </w:r>
      <w:r>
        <w:rPr>
          <w:rFonts w:ascii="Times New Roman" w:cs="Times New Roman" w:eastAsia="仿宋_GB2312" w:hAnsi="Times New Roman" w:hint="default"/>
          <w:color w:val="auto"/>
          <w:szCs w:val="32"/>
        </w:rPr>
        <w:t>支持方向包含省委省政府指令性任务、各产业专班明确的重点技术需求以及征集</w:t>
      </w:r>
      <w:r>
        <w:rPr>
          <w:rFonts w:ascii="Times New Roman" w:cs="Times New Roman" w:eastAsia="仿宋_GB2312" w:hAnsi="Times New Roman" w:hint="eastAsia"/>
          <w:color w:val="auto"/>
          <w:szCs w:val="32"/>
          <w:lang w:eastAsia="zh-CN"/>
        </w:rPr>
        <w:t>到</w:t>
      </w:r>
      <w:r>
        <w:rPr>
          <w:rFonts w:ascii="Times New Roman" w:cs="Times New Roman" w:eastAsia="仿宋_GB2312" w:hAnsi="Times New Roman" w:hint="default"/>
          <w:color w:val="auto"/>
          <w:szCs w:val="32"/>
        </w:rPr>
        <w:t>的技术需求</w:t>
      </w:r>
      <w:r>
        <w:rPr>
          <w:rFonts w:ascii="Times New Roman" w:cs="Times New Roman" w:eastAsia="仿宋_GB2312" w:hAnsi="Times New Roman" w:hint="eastAsia"/>
          <w:color w:val="auto"/>
          <w:szCs w:val="32"/>
          <w:lang w:eastAsia="zh-CN"/>
        </w:rPr>
        <w:t>等</w:t>
      </w:r>
      <w:r>
        <w:rPr>
          <w:rFonts w:ascii="Times New Roman" w:cs="Times New Roman" w:eastAsia="仿宋_GB2312" w:hAnsi="Times New Roman" w:hint="default"/>
          <w:color w:val="auto"/>
          <w:szCs w:val="32"/>
          <w:lang w:eastAsia="zh-CN"/>
        </w:rPr>
        <w:t>。标注“◆”的方向属产业关键技术类。</w:t>
      </w:r>
    </w:p>
    <w:p w14:paraId="0FE82F0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firstLine="0" w:firstLineChars="0"/>
        <w:jc w:val="both"/>
        <w:textAlignment w:val="baseline"/>
        <w:rPr>
          <w:rFonts w:ascii="Times New Roman" w:cs="Times New Roman" w:eastAsia="方正黑体_GBK" w:hAnsi="Times New Roman" w:hint="default"/>
          <w:color w:val="auto"/>
        </w:rPr>
      </w:pPr>
    </w:p>
    <w:p w14:paraId="BFB1D9F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firstLine="0" w:firstLineChars="0"/>
        <w:jc w:val="center"/>
        <w:textAlignment w:val="baseline"/>
        <w:rPr>
          <w:rFonts w:ascii="Times New Roman" w:cs="Times New Roman" w:eastAsia="方正黑体_GBK" w:hAnsi="Times New Roman" w:hint="default"/>
          <w:color w:val="auto"/>
          <w:lang w:eastAsia="zh-CN"/>
        </w:rPr>
      </w:pPr>
      <w:r>
        <w:rPr>
          <w:rFonts w:ascii="Times New Roman" w:cs="Times New Roman" w:eastAsia="方正黑体_GBK" w:hAnsi="Times New Roman" w:hint="default"/>
          <w:color w:val="auto"/>
        </w:rPr>
        <w:t>第一部分：</w:t>
      </w:r>
      <w:r>
        <w:rPr>
          <w:rFonts w:ascii="Times New Roman" w:cs="Times New Roman" w:eastAsia="方正黑体_GBK" w:hAnsi="Times New Roman" w:hint="eastAsia"/>
          <w:color w:val="auto"/>
          <w:lang w:eastAsia="zh-CN"/>
        </w:rPr>
        <w:t>现代</w:t>
      </w:r>
      <w:r>
        <w:rPr>
          <w:rFonts w:ascii="Times New Roman" w:cs="Times New Roman" w:eastAsia="方正黑体_GBK" w:hAnsi="Times New Roman" w:hint="default"/>
          <w:color w:val="auto"/>
          <w:lang w:eastAsia="zh-CN"/>
        </w:rPr>
        <w:t>农业</w:t>
      </w:r>
      <w:r>
        <w:rPr>
          <w:rFonts w:ascii="Times New Roman" w:cs="Times New Roman" w:eastAsia="方正黑体_GBK" w:hAnsi="Times New Roman" w:hint="eastAsia"/>
          <w:color w:val="auto"/>
          <w:lang w:eastAsia="zh-CN"/>
        </w:rPr>
        <w:t>领域</w:t>
      </w:r>
    </w:p>
    <w:p w14:paraId="6D15696B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tabs>
          <w:tab w:val="left" w:leader="none" w:pos="0"/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737" w:leftChars="0"/>
        <w:jc w:val="both"/>
        <w:textAlignment w:val="baseline"/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zh-CN" w:eastAsia="zh-CN"/>
        </w:rPr>
      </w:pPr>
      <w:r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zh-CN" w:eastAsia="zh-CN"/>
        </w:rPr>
        <w:t>（一）核心种源</w:t>
      </w:r>
    </w:p>
    <w:p w14:paraId="D707C764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en-US" w:eastAsia="zh-CN"/>
        </w:rPr>
      </w:pP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农业种质资源收集评价及创新开发利用</w:t>
      </w:r>
    </w:p>
    <w:p w14:paraId="4CA218E3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en-US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具有山地特色优势的高</w:t>
      </w: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产</w:t>
      </w:r>
      <w:r>
        <w:rPr>
          <w:rFonts w:ascii="Times New Roman" w:cs="Times New Roman" w:eastAsia="仿宋_GB2312" w:hAnsi="Times New Roman" w:hint="default"/>
          <w:color w:val="auto"/>
          <w:lang w:val="zh-CN"/>
        </w:rPr>
        <w:t>、优质粮油作物新品种选育</w:t>
      </w:r>
    </w:p>
    <w:p w14:paraId="20FC3D2C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en-US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具有山地特色优势的高效、优质经济作物新品种选育</w:t>
      </w:r>
    </w:p>
    <w:p w14:paraId="6A2E3AE8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林</w:t>
      </w: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草</w:t>
      </w:r>
      <w:r>
        <w:rPr>
          <w:rFonts w:ascii="Times New Roman" w:cs="Times New Roman" w:eastAsia="仿宋_GB2312" w:hAnsi="Times New Roman" w:hint="default"/>
          <w:color w:val="auto"/>
          <w:lang w:val="zh-CN"/>
        </w:rPr>
        <w:t>及观赏植物新品种选育</w:t>
      </w:r>
    </w:p>
    <w:p w14:paraId="1D342144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种子种苗、苗木规模化繁育</w:t>
      </w:r>
    </w:p>
    <w:p w14:paraId="1D05A66C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地方特色优势畜禽品种培育</w:t>
      </w:r>
    </w:p>
    <w:p w14:paraId="25C0B55A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水产新品种</w:t>
      </w: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培育与高效繁殖</w:t>
      </w:r>
    </w:p>
    <w:p w14:paraId="77BA8A57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tabs>
          <w:tab w:val="left" w:leader="none" w:pos="0"/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737" w:leftChars="0"/>
        <w:jc w:val="both"/>
        <w:textAlignment w:val="baseline"/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zh-CN" w:eastAsia="zh-CN"/>
        </w:rPr>
      </w:pPr>
      <w:r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zh-CN" w:eastAsia="zh-CN"/>
        </w:rPr>
        <w:t>（二）高效种植、养殖</w:t>
      </w:r>
    </w:p>
    <w:p w14:paraId="7DC56EEC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en-US" w:eastAsia="zh-CN"/>
        </w:rPr>
      </w:pP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水稻、玉米、马铃薯、高粱、油菜、大豆等粮油作物高产高效种植技术</w:t>
      </w:r>
    </w:p>
    <w:p w14:paraId="5DA5B268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en-US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茶叶、辣椒、中药材、食用菌、</w:t>
      </w: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蔬菜、精品水果、</w:t>
      </w:r>
      <w:r>
        <w:rPr>
          <w:rFonts w:ascii="Times New Roman" w:cs="Times New Roman" w:eastAsia="仿宋_GB2312" w:hAnsi="Times New Roman" w:hint="default"/>
          <w:color w:val="auto"/>
          <w:lang w:val="zh-CN"/>
        </w:rPr>
        <w:t>刺梨等优势特色产业高效种植技术</w:t>
      </w:r>
    </w:p>
    <w:p w14:paraId="11439F37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优质肉牛、奶牛、</w:t>
      </w: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鸭、鹅、鱼</w:t>
      </w:r>
      <w:r>
        <w:rPr>
          <w:rFonts w:ascii="Times New Roman" w:cs="Times New Roman" w:eastAsia="仿宋_GB2312" w:hAnsi="Times New Roman" w:hint="default"/>
          <w:color w:val="auto"/>
          <w:lang w:val="zh-CN"/>
        </w:rPr>
        <w:t>等畜禽、水产规模化生态健康养殖技术</w:t>
      </w:r>
    </w:p>
    <w:p w14:paraId="DCA7F727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tabs>
          <w:tab w:val="left" w:leader="none" w:pos="0"/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737" w:leftChars="0"/>
        <w:jc w:val="both"/>
        <w:textAlignment w:val="baseline"/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zh-CN" w:eastAsia="zh-CN"/>
        </w:rPr>
      </w:pPr>
      <w:r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en-US" w:eastAsia="zh-CN"/>
        </w:rPr>
        <w:t>（三）</w:t>
      </w:r>
      <w:r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zh-CN" w:eastAsia="zh-CN"/>
        </w:rPr>
        <w:t>耕地质量</w:t>
      </w:r>
    </w:p>
    <w:p w14:paraId="7760D25D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en-US" w:eastAsia="zh-CN"/>
        </w:rPr>
      </w:pP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黏重土壤健康培育</w:t>
      </w:r>
      <w:r>
        <w:rPr>
          <w:rFonts w:ascii="Times New Roman" w:cs="Times New Roman" w:eastAsia="仿宋_GB2312" w:hAnsi="Times New Roman" w:hint="default"/>
          <w:color w:val="auto"/>
          <w:lang w:val="zh-CN"/>
        </w:rPr>
        <w:t>、</w:t>
      </w: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坡耕地水资源高效利用及高标准农田培肥等技术</w:t>
      </w:r>
    </w:p>
    <w:p w14:paraId="28E40289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tabs>
          <w:tab w:val="left" w:leader="none" w:pos="0"/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737" w:leftChars="0"/>
        <w:jc w:val="both"/>
        <w:textAlignment w:val="baseline"/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en-US" w:eastAsia="zh-CN"/>
        </w:rPr>
      </w:pPr>
      <w:r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en-US" w:eastAsia="zh-CN"/>
        </w:rPr>
        <w:t>（四）</w:t>
      </w:r>
      <w:r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zh-CN" w:eastAsia="zh-CN"/>
        </w:rPr>
        <w:t>设施农业及智能化</w:t>
      </w:r>
    </w:p>
    <w:p w14:paraId="D6E8B337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en-US" w:eastAsia="zh-CN"/>
        </w:rPr>
      </w:pPr>
      <w:r>
        <w:rPr>
          <w:rFonts w:ascii="Times New Roman" w:cs="Times New Roman" w:eastAsia="仿宋_GB2312" w:hAnsi="Times New Roman" w:hint="default"/>
          <w:color w:val="auto"/>
          <w:szCs w:val="32"/>
          <w:lang w:eastAsia="zh-CN"/>
        </w:rPr>
        <w:t>◆</w:t>
      </w: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适宜贵州山地农业特点的设施设备</w:t>
      </w:r>
    </w:p>
    <w:p w14:paraId="34611C53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en-US" w:eastAsia="zh-CN"/>
        </w:rPr>
      </w:pPr>
      <w:r>
        <w:rPr>
          <w:rFonts w:ascii="Times New Roman" w:cs="Times New Roman" w:eastAsia="仿宋_GB2312" w:hAnsi="Times New Roman" w:hint="default"/>
          <w:color w:val="auto"/>
          <w:szCs w:val="32"/>
          <w:lang w:eastAsia="zh-CN"/>
        </w:rPr>
        <w:t>◆</w:t>
      </w: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设施农业高效种植养殖及智能化管理技术</w:t>
      </w:r>
    </w:p>
    <w:p w14:paraId="C1DA82CE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tabs>
          <w:tab w:val="left" w:leader="none" w:pos="0"/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737" w:leftChars="0"/>
        <w:jc w:val="both"/>
        <w:textAlignment w:val="baseline"/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en-US" w:eastAsia="zh-CN"/>
        </w:rPr>
      </w:pPr>
      <w:r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en-US" w:eastAsia="zh-CN"/>
        </w:rPr>
        <w:t>（五）山地农机装备</w:t>
      </w:r>
    </w:p>
    <w:p w14:paraId="B2106624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en-US" w:eastAsia="zh-CN"/>
        </w:rPr>
      </w:pPr>
      <w:r>
        <w:rPr>
          <w:rFonts w:ascii="Times New Roman" w:cs="Times New Roman" w:eastAsia="仿宋_GB2312" w:hAnsi="Times New Roman" w:hint="default"/>
          <w:color w:val="auto"/>
          <w:szCs w:val="32"/>
          <w:lang w:eastAsia="zh-CN"/>
        </w:rPr>
        <w:t>◆</w:t>
      </w: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适宜我省山地的粮油及优势特色作物播栽、收获农机装备</w:t>
      </w:r>
    </w:p>
    <w:p w14:paraId="E5231FE8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en-US" w:eastAsia="zh-CN"/>
        </w:rPr>
      </w:pPr>
      <w:r>
        <w:rPr>
          <w:rFonts w:ascii="Times New Roman" w:cs="Times New Roman" w:eastAsia="仿宋_GB2312" w:hAnsi="Times New Roman" w:hint="default"/>
          <w:color w:val="auto"/>
          <w:szCs w:val="32"/>
          <w:lang w:eastAsia="zh-CN"/>
        </w:rPr>
        <w:t>◆</w:t>
      </w: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优质农产品、食品、中药材加工成套机械化装备</w:t>
      </w:r>
    </w:p>
    <w:p w14:paraId="06932180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tabs>
          <w:tab w:val="left" w:leader="none" w:pos="0"/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737" w:leftChars="0"/>
        <w:jc w:val="both"/>
        <w:textAlignment w:val="baseline"/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zh-CN" w:eastAsia="zh-CN"/>
        </w:rPr>
      </w:pPr>
      <w:r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en-US" w:eastAsia="zh-CN"/>
        </w:rPr>
        <w:t>（六）</w:t>
      </w:r>
      <w:r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zh-CN" w:eastAsia="zh-CN"/>
        </w:rPr>
        <w:t>农产品及食品加工、储藏</w:t>
      </w:r>
    </w:p>
    <w:p w14:paraId="CB6181CB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szCs w:val="32"/>
          <w:lang w:eastAsia="zh-CN"/>
        </w:rPr>
        <w:t>◆蓝莓等</w:t>
      </w: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特色</w:t>
      </w:r>
      <w:r>
        <w:rPr>
          <w:rFonts w:ascii="Times New Roman" w:cs="Times New Roman" w:eastAsia="仿宋_GB2312" w:hAnsi="Times New Roman" w:hint="default"/>
          <w:color w:val="auto"/>
          <w:lang w:val="zh-CN"/>
        </w:rPr>
        <w:t>农产品食品</w:t>
      </w: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加工</w:t>
      </w:r>
      <w:r>
        <w:rPr>
          <w:rFonts w:ascii="Times New Roman" w:cs="Times New Roman" w:eastAsia="仿宋_GB2312" w:hAnsi="Times New Roman" w:hint="default"/>
          <w:color w:val="auto"/>
          <w:lang w:val="zh-CN"/>
        </w:rPr>
        <w:t>技术</w:t>
      </w:r>
    </w:p>
    <w:p w14:paraId="7EBF2B08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绿色安全保鲜保质、</w:t>
      </w: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减损</w:t>
      </w:r>
      <w:r>
        <w:rPr>
          <w:rFonts w:ascii="Times New Roman" w:cs="Times New Roman" w:eastAsia="仿宋_GB2312" w:hAnsi="Times New Roman" w:hint="default"/>
          <w:color w:val="auto"/>
          <w:lang w:val="zh-CN"/>
        </w:rPr>
        <w:t>贮运与物流配送技术</w:t>
      </w:r>
    </w:p>
    <w:p w14:paraId="88F5EAD5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szCs w:val="32"/>
          <w:lang w:eastAsia="zh-CN"/>
        </w:rPr>
        <w:t>◆</w:t>
      </w:r>
      <w:r>
        <w:rPr>
          <w:rFonts w:ascii="Times New Roman" w:cs="Times New Roman" w:eastAsia="仿宋_GB2312" w:hAnsi="Times New Roman" w:hint="default"/>
          <w:color w:val="auto"/>
          <w:lang w:val="zh-CN"/>
        </w:rPr>
        <w:t>农产品、食品质量安全追溯与评价、检测全程质量控制技术</w:t>
      </w:r>
    </w:p>
    <w:p w14:paraId="B6DE27C4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tabs>
          <w:tab w:val="left" w:leader="none" w:pos="0"/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737" w:leftChars="0"/>
        <w:jc w:val="both"/>
        <w:textAlignment w:val="baseline"/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en-US" w:eastAsia="zh-CN"/>
        </w:rPr>
      </w:pPr>
      <w:r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en-US" w:eastAsia="zh-CN"/>
        </w:rPr>
        <w:t>（七）绿色投入品</w:t>
      </w:r>
    </w:p>
    <w:p w14:paraId="326B45C1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szCs w:val="32"/>
          <w:lang w:eastAsia="zh-CN"/>
        </w:rPr>
        <w:t>◆</w:t>
      </w: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低毒高效新型农药</w:t>
      </w:r>
      <w:r>
        <w:rPr>
          <w:rFonts w:ascii="Times New Roman" w:cs="Times New Roman" w:eastAsia="仿宋_GB2312" w:hAnsi="Times New Roman" w:hint="default"/>
          <w:color w:val="auto"/>
          <w:lang w:val="zh-CN"/>
        </w:rPr>
        <w:t>、</w:t>
      </w: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功能生物有机肥</w:t>
      </w:r>
      <w:r>
        <w:rPr>
          <w:rFonts w:ascii="Times New Roman" w:cs="Times New Roman" w:eastAsia="仿宋_GB2312" w:hAnsi="Times New Roman" w:hint="default"/>
          <w:color w:val="auto"/>
          <w:lang w:val="zh-CN"/>
        </w:rPr>
        <w:t>、新型肥料、</w:t>
      </w:r>
      <w:r>
        <w:rPr>
          <w:rFonts w:ascii="Times New Roman" w:cs="Times New Roman" w:eastAsia="仿宋_GB2312" w:hAnsi="Times New Roman" w:hint="eastAsia"/>
          <w:color w:val="auto"/>
          <w:lang w:val="zh-CN"/>
        </w:rPr>
        <w:t>绿色</w:t>
      </w: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兽药</w:t>
      </w:r>
      <w:r>
        <w:rPr>
          <w:rFonts w:ascii="Times New Roman" w:cs="Times New Roman" w:eastAsia="仿宋_GB2312" w:hAnsi="Times New Roman" w:hint="default"/>
          <w:color w:val="auto"/>
          <w:lang w:val="zh-CN"/>
        </w:rPr>
        <w:t>、饲料及饲料添加剂</w:t>
      </w: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产品</w:t>
      </w:r>
    </w:p>
    <w:p w14:paraId="A4B013C4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重大植物病虫害绿色防控、畜禽水产</w:t>
      </w: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重大疫病防控技术</w:t>
      </w:r>
    </w:p>
    <w:p w14:paraId="62A28700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土壤残膜、污染物消减等技术</w:t>
      </w:r>
    </w:p>
    <w:p w14:paraId="D125BF2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firstLine="0" w:firstLineChars="0"/>
        <w:jc w:val="both"/>
        <w:textAlignment w:val="baseline"/>
        <w:rPr>
          <w:rFonts w:ascii="Times New Roman" w:cs="Times New Roman" w:eastAsia="方正黑体_GBK" w:hAnsi="Times New Roman" w:hint="default"/>
          <w:color w:val="auto"/>
        </w:rPr>
      </w:pPr>
    </w:p>
    <w:p w14:paraId="EF17A6C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firstLine="0" w:firstLineChars="0"/>
        <w:jc w:val="center"/>
        <w:textAlignment w:val="baseline"/>
        <w:rPr>
          <w:rFonts w:ascii="Times New Roman" w:cs="Times New Roman" w:eastAsia="方正黑体_GBK" w:hAnsi="Times New Roman" w:hint="default"/>
          <w:color w:val="auto"/>
        </w:rPr>
      </w:pPr>
      <w:r>
        <w:rPr>
          <w:rFonts w:ascii="Times New Roman" w:cs="Times New Roman" w:eastAsia="方正黑体_GBK" w:hAnsi="Times New Roman" w:hint="default"/>
          <w:color w:val="auto"/>
        </w:rPr>
        <w:t>第</w:t>
      </w:r>
      <w:r>
        <w:rPr>
          <w:rFonts w:ascii="Times New Roman" w:cs="Times New Roman" w:eastAsia="方正黑体_GBK" w:hAnsi="Times New Roman" w:hint="default"/>
          <w:color w:val="auto"/>
          <w:lang w:eastAsia="zh-CN"/>
        </w:rPr>
        <w:t>二</w:t>
      </w:r>
      <w:r>
        <w:rPr>
          <w:rFonts w:ascii="Times New Roman" w:cs="Times New Roman" w:eastAsia="方正黑体_GBK" w:hAnsi="Times New Roman" w:hint="default"/>
          <w:color w:val="auto"/>
        </w:rPr>
        <w:t>部分：</w:t>
      </w:r>
      <w:r>
        <w:rPr>
          <w:rFonts w:ascii="Times New Roman" w:cs="Times New Roman" w:eastAsia="方正黑体_GBK" w:hAnsi="Times New Roman" w:hint="default"/>
          <w:color w:val="auto"/>
          <w:lang w:eastAsia="zh-CN"/>
        </w:rPr>
        <w:t>社会发展</w:t>
      </w:r>
      <w:r>
        <w:rPr>
          <w:rFonts w:ascii="Times New Roman" w:cs="Times New Roman" w:eastAsia="方正黑体_GBK" w:hAnsi="Times New Roman" w:hint="default"/>
          <w:color w:val="auto"/>
        </w:rPr>
        <w:t>领域</w:t>
      </w:r>
    </w:p>
    <w:p w14:paraId="11426679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tabs>
          <w:tab w:val="left" w:leader="none" w:pos="0"/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737" w:leftChars="0"/>
        <w:jc w:val="both"/>
        <w:textAlignment w:val="baseline"/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zh-CN" w:eastAsia="zh-CN"/>
        </w:rPr>
      </w:pPr>
      <w:r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zh-CN" w:eastAsia="zh-CN"/>
        </w:rPr>
        <w:t>（一）生态</w:t>
      </w:r>
    </w:p>
    <w:p w14:paraId="A298C854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退化和典型脆弱生态区、工业园区、重大工程沿线综合整治技术</w:t>
      </w:r>
    </w:p>
    <w:p w14:paraId="922E6BA1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废弃矿山（点）生态修复及产业化技术</w:t>
      </w:r>
    </w:p>
    <w:p w14:paraId="E56026F0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河湖污染监测与治理关键技术</w:t>
      </w:r>
    </w:p>
    <w:p w14:paraId="322748EE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生物多样性保护和珍稀濒危物种培育、重要种质资源保育、外来物种防治技术</w:t>
      </w:r>
    </w:p>
    <w:p w14:paraId="17E4112E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tabs>
          <w:tab w:val="left" w:leader="none" w:pos="0"/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737" w:leftChars="0"/>
        <w:jc w:val="both"/>
        <w:textAlignment w:val="baseline"/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zh-CN" w:eastAsia="zh-CN"/>
        </w:rPr>
      </w:pPr>
      <w:r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zh-CN" w:eastAsia="zh-CN"/>
        </w:rPr>
        <w:t>（二）环保</w:t>
      </w:r>
    </w:p>
    <w:p w14:paraId="2E22DA8E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eastAsia="zh-CN"/>
        </w:rPr>
      </w:pPr>
      <w:r>
        <w:rPr>
          <w:rFonts w:ascii="Times New Roman" w:cs="Times New Roman" w:eastAsia="仿宋_GB2312" w:hAnsi="Times New Roman" w:hint="default"/>
          <w:color w:val="auto"/>
          <w:lang w:eastAsia="zh-CN"/>
        </w:rPr>
        <w:t>工业固废（磷石膏、煤矸石、锰渣、赤泥、钡渣等）无害化资源综合利用</w:t>
      </w:r>
      <w:r>
        <w:rPr>
          <w:rFonts w:ascii="Times New Roman" w:cs="Times New Roman" w:eastAsia="仿宋_GB2312" w:hAnsi="Times New Roman" w:hint="default"/>
          <w:color w:val="auto"/>
          <w:lang w:val="zh-CN"/>
        </w:rPr>
        <w:t>技术</w:t>
      </w:r>
    </w:p>
    <w:p w14:paraId="114821C2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eastAsia="zh-CN"/>
        </w:rPr>
      </w:pPr>
      <w:r>
        <w:rPr>
          <w:rFonts w:ascii="Times New Roman" w:cs="Times New Roman" w:eastAsia="仿宋_GB2312" w:hAnsi="Times New Roman" w:hint="default"/>
          <w:color w:val="auto"/>
          <w:lang w:eastAsia="zh-CN"/>
        </w:rPr>
        <w:t>新型污染物生态风险评估与消减技术</w:t>
      </w:r>
    </w:p>
    <w:p w14:paraId="094F1BA2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en-US" w:eastAsia="zh-CN"/>
        </w:rPr>
      </w:pPr>
      <w:r>
        <w:rPr>
          <w:rFonts w:ascii="Times New Roman" w:cs="Times New Roman" w:eastAsia="仿宋_GB2312" w:hAnsi="Times New Roman" w:hint="default"/>
          <w:color w:val="auto"/>
          <w:szCs w:val="32"/>
          <w:lang w:eastAsia="zh-CN"/>
        </w:rPr>
        <w:t>◆</w:t>
      </w: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新能源电池循环利用</w:t>
      </w:r>
      <w:r>
        <w:rPr>
          <w:rFonts w:ascii="Times New Roman" w:cs="Times New Roman" w:eastAsia="仿宋_GB2312" w:hAnsi="Times New Roman" w:hint="default"/>
          <w:color w:val="auto"/>
          <w:lang w:val="zh-CN"/>
        </w:rPr>
        <w:t>技术</w:t>
      </w:r>
    </w:p>
    <w:p w14:paraId="BD8455E9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eastAsia="zh-CN"/>
        </w:rPr>
      </w:pPr>
      <w:r>
        <w:rPr>
          <w:rFonts w:ascii="Times New Roman" w:cs="Times New Roman" w:eastAsia="仿宋_GB2312" w:hAnsi="Times New Roman" w:hint="default"/>
          <w:color w:val="auto"/>
          <w:szCs w:val="32"/>
          <w:lang w:eastAsia="zh-CN"/>
        </w:rPr>
        <w:t>◆</w:t>
      </w: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电解铝环保技术</w:t>
      </w:r>
    </w:p>
    <w:p w14:paraId="B2819324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eastAsia="zh-CN"/>
        </w:rPr>
      </w:pPr>
      <w:r>
        <w:rPr>
          <w:rFonts w:ascii="Times New Roman" w:cs="Times New Roman" w:eastAsia="仿宋_GB2312" w:hAnsi="Times New Roman" w:hint="default"/>
          <w:color w:val="auto"/>
          <w:lang w:eastAsia="zh-CN"/>
        </w:rPr>
        <w:t>历史遗留渣库（场）汛期水污染，以及喀斯特地区地下水污染物精准溯源、动态监测和防治技术</w:t>
      </w:r>
    </w:p>
    <w:p w14:paraId="73DC9B5C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eastAsia="zh-CN"/>
        </w:rPr>
      </w:pPr>
      <w:r>
        <w:rPr>
          <w:rFonts w:ascii="Times New Roman" w:cs="Times New Roman" w:eastAsia="仿宋_GB2312" w:hAnsi="Times New Roman" w:hint="default"/>
          <w:color w:val="auto"/>
          <w:lang w:eastAsia="zh-CN"/>
        </w:rPr>
        <w:t>喀斯特成矿带农用地土壤重金属污染成因、源头阻控及安全利用技术</w:t>
      </w:r>
    </w:p>
    <w:p w14:paraId="9CDF86EA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tabs>
          <w:tab w:val="left" w:leader="none" w:pos="0"/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firstLine="642" w:firstLineChars="20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zh-CN" w:eastAsia="zh-CN"/>
        </w:rPr>
        <w:t>（三）资源</w:t>
      </w:r>
    </w:p>
    <w:p w14:paraId="03046E76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贵州绿色智能水网体系构建技术</w:t>
      </w:r>
    </w:p>
    <w:p w14:paraId="935B558A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szCs w:val="32"/>
          <w:lang w:eastAsia="zh-CN"/>
        </w:rPr>
        <w:t>◆</w:t>
      </w:r>
      <w:r>
        <w:rPr>
          <w:rFonts w:ascii="Times New Roman" w:cs="Times New Roman" w:eastAsia="仿宋_GB2312" w:hAnsi="Times New Roman" w:hint="default"/>
          <w:color w:val="auto"/>
          <w:lang w:val="zh-CN"/>
        </w:rPr>
        <w:t>磷伴生氟等贵州矿产资源高效回收利用</w:t>
      </w:r>
    </w:p>
    <w:p w14:paraId="80BCB8C5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tabs>
          <w:tab w:val="left" w:leader="none" w:pos="0"/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737" w:leftChars="0"/>
        <w:jc w:val="both"/>
        <w:textAlignment w:val="baseline"/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zh-CN" w:eastAsia="zh-CN"/>
        </w:rPr>
      </w:pPr>
      <w:r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en-US" w:eastAsia="zh-CN"/>
        </w:rPr>
        <w:t>（四）</w:t>
      </w:r>
      <w:r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zh-CN" w:eastAsia="zh-CN"/>
        </w:rPr>
        <w:t>公共安全</w:t>
      </w:r>
    </w:p>
    <w:p w14:paraId="32E7ABE0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食品安全技术、数据标准化制定</w:t>
      </w:r>
    </w:p>
    <w:p w14:paraId="4A0617FF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食品检验检测技术</w:t>
      </w:r>
    </w:p>
    <w:p w14:paraId="1300ACA1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en-US" w:eastAsia="zh-CN"/>
        </w:rPr>
      </w:pP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森林火灾智能定位导航灭火设备</w:t>
      </w:r>
    </w:p>
    <w:p w14:paraId="405442BF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en-US" w:eastAsia="zh-CN"/>
        </w:rPr>
      </w:pP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桥梁安全检测与评价技术</w:t>
      </w:r>
    </w:p>
    <w:p w14:paraId="2C2A4953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适合低空飞行器的气象预报模型构建</w:t>
      </w:r>
    </w:p>
    <w:p w14:paraId="9D32B39C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数字化智能化安全监测、预警和应急处理技术</w:t>
      </w:r>
    </w:p>
    <w:p w14:paraId="6547036E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tabs>
          <w:tab w:val="left" w:leader="none" w:pos="0"/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firstLine="642" w:firstLineChars="200"/>
        <w:jc w:val="both"/>
        <w:textAlignment w:val="baseline"/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zh-CN" w:eastAsia="zh-CN"/>
        </w:rPr>
      </w:pPr>
      <w:r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en-US" w:eastAsia="zh-CN"/>
        </w:rPr>
        <w:t>（五）</w:t>
      </w:r>
      <w:r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zh-CN" w:eastAsia="zh-CN"/>
        </w:rPr>
        <w:t>生物医药、中医药</w:t>
      </w:r>
    </w:p>
    <w:p w14:paraId="DE875562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大品种、大宗药材及贵州道地特色中药材种质种苗繁育与生态种植技术</w:t>
      </w:r>
    </w:p>
    <w:p w14:paraId="48E34DB5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大品种、大宗药材及贵州道地特色中药材产地加工质量控制技术</w:t>
      </w:r>
    </w:p>
    <w:p w14:paraId="9A2CCEA4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中药材产业链延伸大健康产品、提取物的研发，“药食两用”品种技术及产品</w:t>
      </w:r>
    </w:p>
    <w:p w14:paraId="00257E06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野生天麻等野生药用植物资源调查、种质资源收集评价及开发</w:t>
      </w:r>
    </w:p>
    <w:p w14:paraId="19A40428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生物医药、民族药领域大数据管理与应用技术</w:t>
      </w:r>
    </w:p>
    <w:p w14:paraId="D2876073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eastAsia"/>
          <w:color w:val="auto"/>
          <w:lang w:val="zh-CN"/>
        </w:rPr>
        <w:t>生物合成技术</w:t>
      </w:r>
    </w:p>
    <w:p w14:paraId="46834117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szCs w:val="32"/>
          <w:lang w:eastAsia="zh-CN"/>
        </w:rPr>
        <w:t>◆</w:t>
      </w:r>
      <w:r>
        <w:rPr>
          <w:rFonts w:ascii="Times New Roman" w:cs="Times New Roman" w:eastAsia="仿宋_GB2312" w:hAnsi="Times New Roman" w:hint="default"/>
          <w:color w:val="auto"/>
          <w:lang w:val="zh-CN"/>
        </w:rPr>
        <w:t>医药装备、医疗器械研发</w:t>
      </w:r>
    </w:p>
    <w:p w14:paraId="170F3010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tabs>
          <w:tab w:val="left" w:leader="none" w:pos="0"/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737" w:leftChars="0"/>
        <w:jc w:val="both"/>
        <w:textAlignment w:val="baseline"/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zh-CN" w:eastAsia="zh-CN"/>
        </w:rPr>
      </w:pPr>
      <w:r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en-US" w:eastAsia="zh-CN"/>
        </w:rPr>
        <w:t>（六）</w:t>
      </w:r>
      <w:r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zh-CN" w:eastAsia="zh-CN"/>
        </w:rPr>
        <w:t>医学（含中医）</w:t>
      </w:r>
    </w:p>
    <w:p w14:paraId="D7FB46EE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恶性肿瘤临床医学</w:t>
      </w:r>
    </w:p>
    <w:p w14:paraId="4E0B6E47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心脑血管疾病临床医学</w:t>
      </w:r>
    </w:p>
    <w:p w14:paraId="8DA98BA8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慢性呼吸系统疾病临床医学</w:t>
      </w:r>
    </w:p>
    <w:p w14:paraId="8BBDDCB8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代谢性疾病临床医学</w:t>
      </w:r>
    </w:p>
    <w:p w14:paraId="C4B55524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神经系统疾病临床医学</w:t>
      </w:r>
    </w:p>
    <w:p w14:paraId="771A9021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消化系统疾病临床医学</w:t>
      </w:r>
    </w:p>
    <w:p w14:paraId="827113F0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楷体_GB2312" w:hAnsi="Times New Roman" w:hint="default"/>
          <w:color w:val="auto"/>
          <w:szCs w:val="32"/>
          <w:lang w:val="zh-CN" w:eastAsia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妇儿、老年健康等临床医学</w:t>
      </w:r>
    </w:p>
    <w:p w14:paraId="5B06DBA4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楷体_GB2312" w:hAnsi="Times New Roman" w:hint="default"/>
          <w:color w:val="auto"/>
          <w:szCs w:val="32"/>
          <w:lang w:val="zh-CN" w:eastAsia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精神疾病、职业病、艾滋病等临床医学</w:t>
      </w:r>
    </w:p>
    <w:p w14:paraId="CAB85DF5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免疫性疾病和感染性疾病等重大疾病临床医学</w:t>
      </w:r>
    </w:p>
    <w:p w14:paraId="341F2C10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泌尿生殖系统、血液系统、骨科、眼耳鼻喉等常见多发病临床医学</w:t>
      </w:r>
    </w:p>
    <w:p w14:paraId="5D511785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疾病预防控制、公共卫生领域技术</w:t>
      </w:r>
    </w:p>
    <w:p w14:paraId="2387EC33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中医药经典名方收集、整理、标准化</w:t>
      </w:r>
    </w:p>
    <w:p w14:paraId="1DDF1DF7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  <w:lang w:val="zh-CN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大数据、人工智能在临床医学</w:t>
      </w:r>
      <w:r>
        <w:rPr>
          <w:rFonts w:ascii="Times New Roman" w:cs="Times New Roman" w:eastAsia="仿宋_GB2312" w:hAnsi="Times New Roman" w:hint="eastAsia"/>
          <w:color w:val="auto"/>
          <w:lang w:val="zh-CN"/>
        </w:rPr>
        <w:t>中</w:t>
      </w:r>
      <w:r>
        <w:rPr>
          <w:rFonts w:ascii="Times New Roman" w:cs="Times New Roman" w:eastAsia="仿宋_GB2312" w:hAnsi="Times New Roman" w:hint="default"/>
          <w:color w:val="auto"/>
          <w:lang w:val="zh-CN"/>
        </w:rPr>
        <w:t>的应用</w:t>
      </w:r>
      <w:r>
        <w:rPr>
          <w:rFonts w:ascii="Times New Roman" w:cs="Times New Roman" w:eastAsia="仿宋_GB2312" w:hAnsi="Times New Roman" w:hint="eastAsia"/>
          <w:color w:val="auto"/>
          <w:lang w:val="zh-CN"/>
        </w:rPr>
        <w:t>技术</w:t>
      </w:r>
    </w:p>
    <w:p w14:paraId="2DCEA734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tabs>
          <w:tab w:val="left" w:leader="none" w:pos="0"/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737" w:leftChars="0"/>
        <w:jc w:val="both"/>
        <w:textAlignment w:val="baseline"/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zh-CN" w:eastAsia="zh-CN"/>
        </w:rPr>
      </w:pPr>
      <w:r>
        <w:rPr>
          <w:rFonts w:ascii="Times New Roman" w:cs="Times New Roman" w:eastAsia="楷体_GB2312" w:hAnsi="Times New Roman" w:hint="default"/>
          <w:b/>
          <w:bCs/>
          <w:color w:val="auto"/>
          <w:szCs w:val="32"/>
          <w:lang w:val="zh-CN" w:eastAsia="zh-CN"/>
        </w:rPr>
        <w:t>（七）其他社会事业</w:t>
      </w:r>
    </w:p>
    <w:p w14:paraId="B544B2E0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文化、旅游保护、挖掘与传承</w:t>
      </w:r>
      <w:r>
        <w:rPr>
          <w:rFonts w:ascii="Times New Roman" w:cs="Times New Roman" w:eastAsia="仿宋_GB2312" w:hAnsi="Times New Roman" w:hint="eastAsia"/>
          <w:color w:val="auto"/>
          <w:lang w:val="zh-CN"/>
        </w:rPr>
        <w:t>中的</w:t>
      </w:r>
      <w:r>
        <w:rPr>
          <w:rFonts w:ascii="Times New Roman" w:cs="Times New Roman" w:eastAsia="仿宋_GB2312" w:hAnsi="Times New Roman" w:hint="default"/>
          <w:color w:val="auto"/>
          <w:lang w:val="en-US" w:eastAsia="zh-CN"/>
        </w:rPr>
        <w:t>数字化、信息化</w:t>
      </w:r>
      <w:r>
        <w:rPr>
          <w:rFonts w:ascii="Times New Roman" w:cs="Times New Roman" w:eastAsia="仿宋_GB2312" w:hAnsi="Times New Roman" w:hint="eastAsia"/>
          <w:color w:val="auto"/>
          <w:lang w:val="en-US" w:eastAsia="zh-CN"/>
        </w:rPr>
        <w:t>应用</w:t>
      </w:r>
      <w:r>
        <w:rPr>
          <w:rFonts w:ascii="Times New Roman" w:cs="Times New Roman" w:eastAsia="仿宋_GB2312" w:hAnsi="Times New Roman" w:hint="default"/>
          <w:color w:val="auto"/>
          <w:lang w:val="zh-CN"/>
        </w:rPr>
        <w:t>技术</w:t>
      </w:r>
    </w:p>
    <w:p w14:paraId="C242BBD0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left" w:leader="none" w:pos="3364"/>
        </w:tabs>
        <w:kinsoku/>
        <w:wordWrap/>
        <w:overflowPunct/>
        <w:topLinePunct w:val="false"/>
        <w:autoSpaceDE/>
        <w:autoSpaceDN/>
        <w:bidi w:val="false"/>
        <w:snapToGrid/>
        <w:spacing w:lineRule="exact" w:line="580"/>
        <w:ind w:left="-97" w:leftChars="0" w:firstLine="737" w:firstLineChars="0"/>
        <w:jc w:val="both"/>
        <w:textAlignment w:val="baseline"/>
        <w:rPr>
          <w:rFonts w:ascii="Times New Roman" w:cs="Times New Roman" w:eastAsia="仿宋_GB2312" w:hAnsi="Times New Roman" w:hint="default"/>
          <w:color w:val="auto"/>
        </w:rPr>
      </w:pPr>
      <w:r>
        <w:rPr>
          <w:rFonts w:ascii="Times New Roman" w:cs="Times New Roman" w:eastAsia="仿宋_GB2312" w:hAnsi="Times New Roman" w:hint="default"/>
          <w:color w:val="auto"/>
          <w:lang w:val="zh-CN"/>
        </w:rPr>
        <w:t>世界自然、文化遗产申报</w:t>
      </w:r>
      <w:r>
        <w:rPr>
          <w:rFonts w:ascii="Times New Roman" w:cs="Times New Roman" w:eastAsia="仿宋_GB2312" w:hAnsi="Times New Roman" w:hint="eastAsia"/>
          <w:color w:val="auto"/>
          <w:lang w:val="zh-CN"/>
        </w:rPr>
        <w:t>中的关键技术</w:t>
      </w:r>
    </w:p>
    <w:sectPr>
      <w:footerReference w:type="even" r:id="rId2"/>
      <w:footerReference w:type="default" r:id="rId3"/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DejaVu Sans">
    <w:altName w:val="DejaVu Sans"/>
    <w:panose1 w:val="020b0603030008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altName w:val="方正小标宋简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CESI黑体-GB2312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altName w:val="方正黑体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方正仿宋_GBK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8607A0C9">
    <w:pPr>
      <w:pStyle w:val="style32"/>
      <w:ind w:firstLine="280" w:firstLineChars="10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272442F0">
    <w:pPr>
      <w:pStyle w:val="style32"/>
      <w:wordWrap w:val="false"/>
      <w:ind w:firstLine="7280"/>
      <w:jc w:val="right"/>
      <w:rPr/>
    </w:pPr>
    <w:r>
      <w:rPr/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5435600" cy="51562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435600" cy="51562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71DCAB0D">
                          <w:pPr>
                            <w:pStyle w:val="style32"/>
                            <w:wordWrap w:val="false"/>
                            <w:ind w:firstLine="7280"/>
                            <w:jc w:val="right"/>
                            <w:rPr/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lang w:val="zh-CN"/>
                            </w:rPr>
                            <w:t>35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lIns="0" rIns="0" tIns="0" bIns="0" upright="true">
                      <a:prstTxWarp prst="textNoShape"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428.0pt;height:40.6pt;z-index:2;mso-position-horizontal:inside;mso-position-horizontal-relative:margin;mso-position-vertical-relative:text;mso-width-relative:page;mso-height-relative:page;mso-wrap-distance-left:0.0pt;mso-wrap-distance-right:0.0pt;visibility:visible;">
              <v:stroke on="f" weight="0.5pt"/>
              <v:fill/>
              <v:textbox inset="0.0pt,0.0pt,0.0pt,0.0pt">
                <w:txbxContent>
                  <w:p w14:paraId="71DCAB0D">
                    <w:pPr>
                      <w:pStyle w:val="style32"/>
                      <w:wordWrap w:val="false"/>
                      <w:ind w:firstLine="7280"/>
                      <w:jc w:val="right"/>
                      <w:rPr/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lang w:val="zh-CN"/>
                      </w:rPr>
                      <w:t>35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 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FE7DE93B"/>
    <w:lvl w:ilvl="0">
      <w:start w:val="1"/>
      <w:numFmt w:val="decimal"/>
      <w:suff w:val="nothing"/>
      <w:lvlText w:val="NY%1．"/>
      <w:lvlJc w:val="left"/>
      <w:pPr>
        <w:tabs>
          <w:tab w:val="left" w:leader="none" w:pos="0"/>
        </w:tabs>
        <w:ind w:left="-97" w:firstLine="737"/>
      </w:pPr>
      <w:rPr>
        <w:rFonts w:eastAsia="方正仿宋_GBK" w:hint="default"/>
      </w:rPr>
    </w:lvl>
  </w:abstractNum>
  <w:abstractNum w:abstractNumId="1">
    <w:nsid w:val="00000001"/>
    <w:multiLevelType w:val="singleLevel"/>
    <w:tmpl w:val="2EFF5A1A"/>
    <w:lvl w:ilvl="0">
      <w:start w:val="1"/>
      <w:numFmt w:val="decimal"/>
      <w:suff w:val="nothing"/>
      <w:lvlText w:val="SF%1．"/>
      <w:lvlJc w:val="left"/>
      <w:pPr>
        <w:tabs>
          <w:tab w:val="left" w:leader="none" w:pos="0"/>
        </w:tabs>
        <w:ind w:left="-97" w:firstLine="737"/>
      </w:pPr>
      <w:rPr>
        <w:rFonts w:ascii="Times New Roman" w:cs="仿宋_GB2312" w:eastAsia="仿宋_GB2312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TrueTypeFonts/>
  <w:saveSubset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evenAndOddHeaders/>
  <w:drawingGridHorizontalSpacing w:val="158"/>
  <w:drawingGridVerticalSpacing w:val="290"/>
  <w:displayHorizontalDrawingGridEvery w:val="1"/>
  <w:displayVerticalDrawingGridEvery w:val="1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44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32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99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44">
    <w:name w:val="table of authorities"/>
    <w:basedOn w:val="style0"/>
    <w:next w:val="style0"/>
    <w:qFormat/>
    <w:uiPriority w:val="99"/>
    <w:pPr>
      <w:ind w:left="420" w:leftChars="200"/>
    </w:pPr>
    <w:rPr>
      <w:rFonts w:ascii="Times New Roman" w:hAnsi="Times New Roman"/>
    </w:rPr>
  </w:style>
  <w:style w:type="paragraph" w:styleId="style30">
    <w:name w:val="annotation text"/>
    <w:basedOn w:val="style0"/>
    <w:next w:val="style30"/>
    <w:link w:val="style4098"/>
    <w:qFormat/>
    <w:uiPriority w:val="99"/>
    <w:pPr>
      <w:spacing w:lineRule="exact" w:line="240"/>
      <w:jc w:val="left"/>
    </w:pPr>
    <w:rPr/>
  </w:style>
  <w:style w:type="paragraph" w:styleId="style153">
    <w:name w:val="Balloon Text"/>
    <w:basedOn w:val="style0"/>
    <w:next w:val="style153"/>
    <w:link w:val="style4099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7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100"/>
    <w:qFormat/>
    <w:uiPriority w:val="99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</w:pPr>
    <w:rPr>
      <w:sz w:val="18"/>
    </w:rPr>
  </w:style>
  <w:style w:type="paragraph" w:styleId="style101">
    <w:name w:val="HTML Preformatted"/>
    <w:basedOn w:val="style0"/>
    <w:next w:val="style101"/>
    <w:link w:val="style4101"/>
    <w:qFormat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宋体" w:hAnsi="宋体"/>
      <w:kern w:val="0"/>
      <w:sz w:val="24"/>
    </w:rPr>
  </w:style>
  <w:style w:type="paragraph" w:styleId="style94">
    <w:name w:val="Normal (Web)"/>
    <w:basedOn w:val="style0"/>
    <w:next w:val="style94"/>
    <w:qFormat/>
    <w:uiPriority w:val="99"/>
    <w:pPr>
      <w:spacing w:beforeAutospacing="true" w:afterAutospacing="true"/>
      <w:jc w:val="left"/>
    </w:pPr>
    <w:rPr>
      <w:kern w:val="0"/>
      <w:sz w:val="24"/>
    </w:rPr>
  </w:style>
  <w:style w:type="paragraph" w:styleId="style106">
    <w:name w:val="annotation subject"/>
    <w:basedOn w:val="style30"/>
    <w:next w:val="style30"/>
    <w:link w:val="style4102"/>
    <w:qFormat/>
    <w:uiPriority w:val="99"/>
    <w:pPr>
      <w:spacing w:lineRule="auto" w:line="240"/>
    </w:pPr>
    <w:rPr>
      <w:b/>
      <w:bCs/>
    </w:rPr>
  </w:style>
  <w:style w:type="character" w:styleId="style39">
    <w:name w:val="annotation reference"/>
    <w:basedOn w:val="style65"/>
    <w:next w:val="style39"/>
    <w:qFormat/>
    <w:uiPriority w:val="99"/>
    <w:rPr>
      <w:rFonts w:cs="Times New Roman"/>
      <w:sz w:val="21"/>
      <w:szCs w:val="21"/>
    </w:rPr>
  </w:style>
  <w:style w:type="character" w:customStyle="1" w:styleId="style4097">
    <w:name w:val="Footer Char_102393f9-5f8e-4deb-8ad0-3d75dbe0059d"/>
    <w:basedOn w:val="style65"/>
    <w:next w:val="style4097"/>
    <w:link w:val="style32"/>
    <w:qFormat/>
    <w:uiPriority w:val="99"/>
    <w:rPr>
      <w:rFonts w:ascii="Calibri" w:cs="Times New Roman" w:hAnsi="Calibri"/>
      <w:sz w:val="18"/>
      <w:szCs w:val="18"/>
    </w:rPr>
  </w:style>
  <w:style w:type="character" w:customStyle="1" w:styleId="style4098">
    <w:name w:val="Comment Text Char"/>
    <w:basedOn w:val="style65"/>
    <w:next w:val="style4098"/>
    <w:link w:val="style30"/>
    <w:qFormat/>
    <w:uiPriority w:val="99"/>
    <w:rPr>
      <w:rFonts w:ascii="Calibri" w:cs="Times New Roman" w:hAnsi="Calibri"/>
      <w:sz w:val="24"/>
      <w:szCs w:val="24"/>
    </w:rPr>
  </w:style>
  <w:style w:type="character" w:customStyle="1" w:styleId="style4099">
    <w:name w:val="Balloon Text Char"/>
    <w:basedOn w:val="style65"/>
    <w:next w:val="style4099"/>
    <w:link w:val="style153"/>
    <w:qFormat/>
    <w:uiPriority w:val="99"/>
    <w:rPr>
      <w:rFonts w:ascii="Calibri" w:cs="Times New Roman" w:hAnsi="Calibri"/>
      <w:sz w:val="2"/>
    </w:rPr>
  </w:style>
  <w:style w:type="character" w:customStyle="1" w:styleId="style4100">
    <w:name w:val="Header Char_ca837d8e-2a4c-46d9-9cb5-c24e8c5d0cd5"/>
    <w:basedOn w:val="style65"/>
    <w:next w:val="style4100"/>
    <w:link w:val="style31"/>
    <w:qFormat/>
    <w:uiPriority w:val="99"/>
    <w:rPr>
      <w:rFonts w:ascii="Calibri" w:cs="Times New Roman" w:hAnsi="Calibri"/>
      <w:sz w:val="18"/>
      <w:szCs w:val="18"/>
    </w:rPr>
  </w:style>
  <w:style w:type="character" w:customStyle="1" w:styleId="style4101">
    <w:name w:val="HTML Preformatted Char"/>
    <w:basedOn w:val="style65"/>
    <w:next w:val="style4101"/>
    <w:link w:val="style101"/>
    <w:qFormat/>
    <w:uiPriority w:val="99"/>
    <w:rPr>
      <w:rFonts w:ascii="Courier New" w:cs="Courier New" w:hAnsi="Courier New"/>
      <w:sz w:val="20"/>
      <w:szCs w:val="20"/>
    </w:rPr>
  </w:style>
  <w:style w:type="character" w:customStyle="1" w:styleId="style4102">
    <w:name w:val="Comment Subject Char"/>
    <w:basedOn w:val="style4098"/>
    <w:next w:val="style4102"/>
    <w:link w:val="style106"/>
    <w:qFormat/>
    <w:uiPriority w:val="99"/>
    <w:rPr>
      <w:b/>
      <w:bCs/>
    </w:rPr>
  </w:style>
  <w:style w:type="paragraph" w:styleId="style179">
    <w:name w:val="List Paragraph"/>
    <w:basedOn w:val="style0"/>
    <w:next w:val="style179"/>
    <w:qFormat/>
    <w:uiPriority w:val="99"/>
    <w:pPr>
      <w:ind w:firstLine="420"/>
    </w:pPr>
    <w:rPr>
      <w:szCs w:val="22"/>
    </w:rPr>
  </w:style>
  <w:style w:type="paragraph" w:customStyle="1" w:styleId="style4103">
    <w:name w:val="Other|1"/>
    <w:basedOn w:val="style0"/>
    <w:next w:val="style4103"/>
    <w:qFormat/>
    <w:uiPriority w:val="99"/>
    <w:pPr>
      <w:spacing w:lineRule="auto" w:line="451"/>
      <w:ind w:firstLine="400"/>
    </w:pPr>
    <w:rPr>
      <w:rFonts w:ascii="宋体" w:cs="宋体" w:hAnsi="宋体"/>
      <w:kern w:val="0"/>
      <w:sz w:val="26"/>
      <w:szCs w:val="26"/>
      <w:lang w:val="zh-TW" w:eastAsia="zh-T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Words>1447</Words>
  <Pages>36</Pages>
  <Characters>1452</Characters>
  <Application>WPS Office</Application>
  <DocSecurity>1</DocSecurity>
  <Paragraphs>91</Paragraphs>
  <ScaleCrop>false</ScaleCrop>
  <LinksUpToDate>false</LinksUpToDate>
  <CharactersWithSpaces>1457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2022-12-13T06:23:00Z</dcterms:created>
  <dc:creator>ysgz</dc:creator>
  <lastModifiedBy>23127PN0CC</lastModifiedBy>
  <lastPrinted>2025-06-20T14:43:44Z</lastPrinted>
  <dcterms:modified xsi:type="dcterms:W3CDTF">2025-06-20T10:35:17Z</dcterms:modified>
  <revision>18</revision>
  <dc:title>省科技厅关于发布2024年度三大科技计划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A1EC1C51FDCE904F1A964768475D1619</vt:lpwstr>
  </property>
</Properties>
</file>