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0" w:afterAutospacing="0" w:line="630" w:lineRule="atLeast"/>
        <w:ind w:firstLine="645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color w:val="auto"/>
          <w:sz w:val="40"/>
          <w:szCs w:val="40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auto"/>
          <w:sz w:val="40"/>
          <w:szCs w:val="40"/>
        </w:rPr>
        <w:t>茅台学院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auto"/>
          <w:sz w:val="40"/>
          <w:szCs w:val="40"/>
          <w:lang w:val="en-US" w:eastAsia="zh-CN"/>
        </w:rPr>
        <w:t>2020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auto"/>
          <w:sz w:val="40"/>
          <w:szCs w:val="40"/>
        </w:rPr>
        <w:t>年博士招聘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auto"/>
          <w:sz w:val="40"/>
          <w:szCs w:val="40"/>
          <w:lang w:eastAsia="zh-CN"/>
        </w:rPr>
        <w:t>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1350"/>
        <w:gridCol w:w="6788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系部名称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计划岗位</w:t>
            </w:r>
          </w:p>
        </w:tc>
        <w:tc>
          <w:tcPr>
            <w:tcW w:w="67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计划引进教师专业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学历学位要求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3" w:hRule="atLeast"/>
        </w:trPr>
        <w:tc>
          <w:tcPr>
            <w:tcW w:w="277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酿酒工程系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专任教师</w:t>
            </w:r>
          </w:p>
        </w:tc>
        <w:tc>
          <w:tcPr>
            <w:tcW w:w="6788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轻工技术与工程（发酵工程、酿酒工程、葡萄与葡萄酒工程等）微生物学、生物化学与分子生物学、化学工程与技术等相关专业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食品科学与工程系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专任教师</w:t>
            </w:r>
          </w:p>
        </w:tc>
        <w:tc>
          <w:tcPr>
            <w:tcW w:w="6788" w:type="dxa"/>
            <w:vAlign w:val="center"/>
          </w:tcPr>
          <w:p>
            <w:pPr>
              <w:jc w:val="both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食品科学与工程、化学工程与技术、茶学等相关专业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酿酒工程自动化系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专任教师</w:t>
            </w:r>
          </w:p>
        </w:tc>
        <w:tc>
          <w:tcPr>
            <w:tcW w:w="678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控制科学与工程、设计学等相关专业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7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资源环境系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专任教师</w:t>
            </w:r>
          </w:p>
        </w:tc>
        <w:tc>
          <w:tcPr>
            <w:tcW w:w="6788" w:type="dxa"/>
            <w:vAlign w:val="center"/>
          </w:tcPr>
          <w:p>
            <w:pPr>
              <w:jc w:val="both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资源循环科学与工程、环境科学与工程、环境科学等相关专业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旅游管理系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专任教师</w:t>
            </w:r>
          </w:p>
        </w:tc>
        <w:tc>
          <w:tcPr>
            <w:tcW w:w="678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旅游管理、酒店管理等相关专业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7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工商管理系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专任教师</w:t>
            </w:r>
          </w:p>
        </w:tc>
        <w:tc>
          <w:tcPr>
            <w:tcW w:w="6788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管理科学与工程、企业管理（含市场营销）、产业经济学、电子商务、物流管理与工程等相关专业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公共基础教学部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专任教师</w:t>
            </w:r>
          </w:p>
        </w:tc>
        <w:tc>
          <w:tcPr>
            <w:tcW w:w="6788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应用数学等相关专业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马克思主义教学部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专业教师</w:t>
            </w:r>
          </w:p>
        </w:tc>
        <w:tc>
          <w:tcPr>
            <w:tcW w:w="6788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马克思主义理论（马克思主义基本原理等相关专业）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博士研究生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82745"/>
    <w:rsid w:val="0A711602"/>
    <w:rsid w:val="0FF563C7"/>
    <w:rsid w:val="117A4FF4"/>
    <w:rsid w:val="11C1139C"/>
    <w:rsid w:val="13B177E1"/>
    <w:rsid w:val="141A0DC0"/>
    <w:rsid w:val="165C4B6B"/>
    <w:rsid w:val="18094FED"/>
    <w:rsid w:val="19190B24"/>
    <w:rsid w:val="1CC57C28"/>
    <w:rsid w:val="1E8934FD"/>
    <w:rsid w:val="28840B90"/>
    <w:rsid w:val="2DFD3592"/>
    <w:rsid w:val="3EEF1A65"/>
    <w:rsid w:val="485A3E5B"/>
    <w:rsid w:val="4FCC03D8"/>
    <w:rsid w:val="54791478"/>
    <w:rsid w:val="58D23072"/>
    <w:rsid w:val="5B293802"/>
    <w:rsid w:val="5D0307A0"/>
    <w:rsid w:val="62710589"/>
    <w:rsid w:val="642339CB"/>
    <w:rsid w:val="6B9443B1"/>
    <w:rsid w:val="6C251250"/>
    <w:rsid w:val="71372E99"/>
    <w:rsid w:val="7568229D"/>
    <w:rsid w:val="77612C18"/>
    <w:rsid w:val="7A8F2ECF"/>
    <w:rsid w:val="7AE5707F"/>
    <w:rsid w:val="7D6469BC"/>
    <w:rsid w:val="7D9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 w:line="240" w:lineRule="auto"/>
      <w:jc w:val="left"/>
    </w:pPr>
    <w:rPr>
      <w:rFonts w:cs="Times New Roman" w:asciiTheme="minorHAnsi" w:eastAsiaTheme="minorEastAsia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2020-04-02T07:08:15Z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